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pStyle w:val="11"/>
        <w:spacing w:line="240" w:lineRule="auto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2025年单位预算公开情况说明</w:t>
      </w:r>
    </w:p>
    <w:p>
      <w:pPr>
        <w:rPr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目   录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一、部门（单位）主要职责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二、机构设置情况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三、预算收支及增减变化情况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四、机关运行经费安排情况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五、一般公共预算“三公”经费及增减变化情况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六、政府采购预算安排情况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七、国有资产占用情况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八、重点项目预算绩效情况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九、其他需要说明的情况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十、专业名词解释</w:t>
      </w: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一、部门（单位）主要职责</w:t>
      </w:r>
    </w:p>
    <w:p>
      <w:pPr>
        <w:spacing w:line="60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竹溪县人民法院是国家审判机关，在中共竹溪县委的领导下，对竹溪县人民代表大会及其常务委员会负责并报告工作。其主要职责是：依法审判第一审刑事、民事、行政案件和上级人民法院交由审判的案件；按照审判监督程序审理当事人提出的申诉、申请再审和人民检察院提出抗诉的刑事、民事、行政再审案件；执行和协调执行已发生法律效力的判决、裁定和委托执行的案件以及国家行政机关依法申请执行的案件；调查研究审判工作中适用法律、执行政策的疑难问题，提出解决问题的办法、意见和司法建议，开展司法统计和司法建议工作，参与社会治安综合治理工作；抓好本院思想政治、教育培训、法治宣传和队伍建设工作；按照权限管理法官和其他工作人员；协同县机构编制主管部门管理本院的机构编制工作；负责本院的财务、装备、技术、鉴定等工作，并负责有关经费和物资装备的管理工作；承办其他应由本院负责的工作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二、机构设置情况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本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单位本级内设机构有综合办公室、政治部（机关党委、督察室）、立案庭（诉讼服务中心）、刑事审判庭、民事审判庭、行政审判庭、执行局、审判管理办公室（研究室）、司法警察大队、蒋家堰人民法庭、中峰人民法庭、水坪人民法庭、新洲人民法庭、泉溪人民法庭、向坝人民法庭。</w:t>
      </w:r>
    </w:p>
    <w:p>
      <w:pPr>
        <w:spacing w:line="60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本单位无</w:t>
      </w:r>
      <w:r>
        <w:rPr>
          <w:rFonts w:hint="eastAsia" w:ascii="仿宋_GB2312" w:hAnsi="黑体" w:eastAsia="仿宋_GB2312" w:cs="Times New Roman"/>
          <w:sz w:val="32"/>
          <w:szCs w:val="32"/>
        </w:rPr>
        <w:t>独立预算二级单位。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三、预算收支及增减变化情况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预算收入情况：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年预算收入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2975.82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万元，比上年减少212.37万元，减少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6.66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，主要原因是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一是减少竹溪人民法院城关法庭及配套设施建设项目资金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386万元，二是新增“两庭”修缮专项经费76万元，三是因调资等原因，人员经费及雇员制劳务费用增加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。其中：一般公共预算拨款收入2800.28万元,比上年增加318.09万元，增加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12.81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；其他收入175.54万元, 比上年减少144.46万元，减少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45.14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，上年财政拨款结余（转）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万元，比上年减少386万元，减少100%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。</w:t>
      </w:r>
    </w:p>
    <w:p>
      <w:pPr>
        <w:spacing w:line="600" w:lineRule="exact"/>
        <w:ind w:firstLine="66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预算支出情况：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年预算支出2975.82万元，比上年减少212.37万元，减少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6.66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。其中：公共安全支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出2535.52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万元, 比上年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49.93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；社会保障和就业支出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331.45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万元，比上年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225.15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40.45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；住房保障支出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108.85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万元，比上年减少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37.15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25.45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支出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增加</w:t>
      </w:r>
      <w:r>
        <w:rPr>
          <w:rFonts w:hint="eastAsia" w:ascii="仿宋_GB2312" w:hAnsi="Calibri" w:eastAsia="仿宋_GB2312" w:cs="Times New Roman"/>
          <w:sz w:val="32"/>
          <w:szCs w:val="32"/>
        </w:rPr>
        <w:t>的主要原因：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（1）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年基本支出2046.31万元，比上年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236.37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10.36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%，</w:t>
      </w:r>
      <w:r>
        <w:rPr>
          <w:rFonts w:hint="eastAsia" w:ascii="仿宋_GB2312" w:hAnsi="Calibri" w:eastAsia="仿宋_GB2312" w:cs="Times New Roman"/>
          <w:sz w:val="32"/>
          <w:szCs w:val="32"/>
        </w:rPr>
        <w:t>主要原因是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2024年补缴以前年度职业年金单位部分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</w:t>
      </w:r>
      <w:r>
        <w:rPr>
          <w:rFonts w:ascii="仿宋_GB2312" w:hAnsi="Calibri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年项目支出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929.51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比上年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20.02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2.67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%，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主要原因是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因调整工资，雇员制人员劳务费用增加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四、机关运行经费安排情况</w:t>
      </w:r>
    </w:p>
    <w:p>
      <w:pPr>
        <w:autoSpaceDE w:val="0"/>
        <w:autoSpaceDN w:val="0"/>
        <w:adjustRightInd w:val="0"/>
        <w:spacing w:line="600" w:lineRule="exact"/>
        <w:ind w:firstLine="660" w:firstLineChars="200"/>
        <w:rPr>
          <w:rFonts w:ascii="仿宋_GB2312" w:hAnsi="宋体" w:eastAsia="仿宋_GB2312" w:cs=".PingFang-SC-Light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25</w:t>
      </w:r>
      <w:r>
        <w:rPr>
          <w:rFonts w:hint="eastAsia" w:ascii="仿宋_GB2312" w:hAnsi="Calibri" w:eastAsia="仿宋_GB2312" w:cs="Times New Roman"/>
          <w:sz w:val="32"/>
          <w:szCs w:val="32"/>
        </w:rPr>
        <w:t>年机关运行经费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196.87</w:t>
      </w:r>
      <w:r>
        <w:rPr>
          <w:rFonts w:hint="eastAsia" w:ascii="仿宋_GB2312" w:hAnsi="Calibri" w:eastAsia="仿宋_GB2312" w:cs="Times New Roman"/>
          <w:sz w:val="32"/>
          <w:szCs w:val="32"/>
        </w:rPr>
        <w:t>万元，较上年相比增加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2.09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1.1</w:t>
      </w:r>
      <w:r>
        <w:rPr>
          <w:rFonts w:ascii="仿宋_GB2312" w:hAnsi="Calibri" w:eastAsia="仿宋_GB2312" w:cs="Times New Roman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较上年基本持平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其中：其他交通费用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74.4</w:t>
      </w:r>
      <w:r>
        <w:rPr>
          <w:rFonts w:hint="eastAsia" w:ascii="仿宋_GB2312" w:hAnsi="宋体" w:eastAsia="仿宋_GB2312" w:cs="Times New Roman"/>
          <w:sz w:val="32"/>
          <w:szCs w:val="32"/>
        </w:rPr>
        <w:t>万元、公务接待费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32"/>
        </w:rPr>
        <w:t>万元、工会会费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万元、福利费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50.67</w:t>
      </w:r>
      <w:r>
        <w:rPr>
          <w:rFonts w:hint="eastAsia" w:ascii="仿宋_GB2312" w:hAnsi="宋体" w:eastAsia="仿宋_GB2312" w:cs="Times New Roman"/>
          <w:sz w:val="32"/>
          <w:szCs w:val="32"/>
        </w:rPr>
        <w:t>万元、其他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商品及服务支出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61.8</w:t>
      </w:r>
      <w:r>
        <w:rPr>
          <w:rFonts w:hint="eastAsia" w:ascii="仿宋_GB2312" w:hAnsi="宋体" w:eastAsia="仿宋_GB2312" w:cs="Times New Roman"/>
          <w:sz w:val="32"/>
          <w:szCs w:val="32"/>
        </w:rPr>
        <w:t>万元</w:t>
      </w:r>
      <w:r>
        <w:rPr>
          <w:rFonts w:hint="eastAsia" w:ascii="仿宋_GB2312" w:hAnsi="宋体" w:eastAsia="仿宋_GB2312" w:cs=".PingFang-SC-Light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五、一般公共预算“三公”经费及增减变化情况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年“三公”经费财政拨款预算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46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较上年无变化</w:t>
      </w:r>
      <w:r>
        <w:rPr>
          <w:rFonts w:hint="eastAsia" w:ascii="仿宋_GB2312" w:hAnsi="Calibri" w:eastAsia="仿宋_GB2312" w:cs="Times New Roman"/>
          <w:sz w:val="32"/>
          <w:szCs w:val="32"/>
        </w:rPr>
        <w:t>。其中：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因公出国（境）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较上年无变化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eastAsia="zh-CN"/>
        </w:rPr>
        <w:t>较上年无变化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置及运行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eastAsia="zh-CN"/>
        </w:rPr>
        <w:t>较上年无变化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，其中：公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万元，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eastAsia="zh-CN"/>
        </w:rPr>
        <w:t>较上年无变化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。公务用车运行维护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万元，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eastAsia="zh-CN"/>
        </w:rPr>
        <w:t>较上年无变化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六、政府采购预算安排情况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color w:val="FF0000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竹溪县人民法院</w:t>
      </w:r>
      <w:r>
        <w:rPr>
          <w:rFonts w:hint="eastAsia" w:ascii="仿宋_GB2312" w:hAnsi="Calibri" w:eastAsia="仿宋_GB2312" w:cs="Times New Roman"/>
          <w:sz w:val="32"/>
          <w:szCs w:val="32"/>
        </w:rPr>
        <w:t>编制政府采购预算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214.94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万元，比上年度增加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214.14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100</w:t>
      </w:r>
      <w:r>
        <w:rPr>
          <w:rFonts w:ascii="仿宋_GB2312" w:hAnsi="Calibri" w:eastAsia="仿宋_GB2312" w:cs="Times New Roman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sz w:val="32"/>
          <w:szCs w:val="32"/>
        </w:rPr>
        <w:t>，主要原因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一</w:t>
      </w:r>
      <w:r>
        <w:rPr>
          <w:rFonts w:hint="eastAsia" w:ascii="仿宋_GB2312" w:hAnsi="Calibri" w:eastAsia="仿宋_GB2312" w:cs="Times New Roman"/>
          <w:sz w:val="32"/>
          <w:szCs w:val="32"/>
        </w:rPr>
        <w:t>是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今年新增竹溪县城关镇人民法庭，需购置法庭需求办公设备；二是根据购买服务预算编制要求，保洁、安保等支出需编制物业管理费政府采购</w:t>
      </w:r>
      <w:r>
        <w:rPr>
          <w:rFonts w:hint="eastAsia" w:ascii="仿宋_GB2312" w:hAnsi="Calibri" w:eastAsia="仿宋_GB2312" w:cs="Times New Roman"/>
          <w:sz w:val="32"/>
          <w:szCs w:val="32"/>
        </w:rPr>
        <w:t>。其中：货物类政府采购预算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177.04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万元，主要用于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新建竹溪县城关镇人民法庭办公设备购置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政府采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务类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政府采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val="en-US" w:eastAsia="zh-CN"/>
        </w:rPr>
        <w:t>37.9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</w:rPr>
        <w:t>主要用于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院机关及法庭保洁及安保支出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</w:t>
      </w:r>
    </w:p>
    <w:p>
      <w:pPr>
        <w:spacing w:line="600" w:lineRule="exact"/>
        <w:ind w:firstLine="660" w:firstLineChars="200"/>
        <w:rPr>
          <w:rFonts w:ascii="仿宋_GB2312" w:hAnsi="MS Mincho" w:eastAsia="仿宋_GB2312" w:cs="MS Mincho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年，面向中小企业采购预算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val="en-US" w:eastAsia="zh-CN"/>
        </w:rPr>
        <w:t>213.44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万元，其中面向小微企业采购预算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七、国有资产占用情况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截至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年，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eastAsia="zh-CN"/>
        </w:rPr>
        <w:t>竹溪县人民法院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占有房屋面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积13216.95平方米，其中：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办公用房建筑面积2037平方米，其他11179.95平方米。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辆，其中：副省级及以上领导干部用车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辆、主要领导干部用车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辆、机要通信用车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辆、应急保障用车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辆、执法执勤用车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辆、特种专业技术用车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辆、其他用车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价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50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万元以上的通用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台（套），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价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100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万元以上的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数量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台（套）。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yellow"/>
        </w:rPr>
      </w:pPr>
      <w:r>
        <w:rPr>
          <w:rFonts w:hint="eastAsia" w:ascii="黑体" w:hAnsi="黑体" w:eastAsia="黑体" w:cs="Times New Roman"/>
          <w:sz w:val="32"/>
          <w:szCs w:val="32"/>
        </w:rPr>
        <w:t>八、重点项目预算绩效情况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微软雅黑"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</w:rPr>
        <w:t>竹溪县人民法院</w:t>
      </w:r>
      <w:r>
        <w:rPr>
          <w:rFonts w:hint="eastAsia" w:ascii="仿宋_GB2312" w:hAnsi="微软雅黑" w:eastAsia="仿宋_GB2312" w:cs="微软雅黑"/>
          <w:sz w:val="32"/>
          <w:szCs w:val="32"/>
        </w:rPr>
        <w:t>办案业务专项经费”项目主要内容是根据《省财政厅关于编制202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微软雅黑"/>
          <w:sz w:val="32"/>
          <w:szCs w:val="32"/>
        </w:rPr>
        <w:t>年省直部门预算编报有关口径的通知》规定，我院为保障审判工作的正常运行,聘用派遣劳务人员及人民陪审员工资，用于解决预算执行中劳务派遣人员服务费。根据202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微软雅黑"/>
          <w:sz w:val="32"/>
          <w:szCs w:val="32"/>
        </w:rPr>
        <w:t>年实际情况需增加办公费用、水电费用、印刷费、邮电费用、劳务费、公务用车运行维护费、差旅费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、办公设备购置等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年预算安排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736.44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万元，资金来源为一般公共预算财政拨款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560.9万元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及单位资金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175.54万元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项目绩效年度目标：集中精力和资源全力办好案件，妥善运用司法手段化解社会矛盾、保护群众利益、促进社会和保障经济发展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数量指标：案件结案率≥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99%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质量指标：诉讼服务指导中心质效评估体系得分≥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90分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成本指标：项目成本控制率≤100%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社会效益指标：保障当事人合法权益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：保障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服务对象满意度：</w:t>
      </w:r>
      <w:r>
        <w:rPr>
          <w:rFonts w:hint="eastAsia" w:ascii="仿宋_GB2312" w:hAnsi="Calibri" w:eastAsia="仿宋_GB2312" w:cs="Times New Roman"/>
          <w:sz w:val="32"/>
          <w:szCs w:val="32"/>
        </w:rPr>
        <w:t>诉讼服务满意度≥9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“竹溪县人民法院雇员制劳务费”</w:t>
      </w:r>
      <w:r>
        <w:rPr>
          <w:rFonts w:hint="eastAsia" w:ascii="仿宋_GB2312" w:hAnsi="微软雅黑" w:eastAsia="仿宋_GB2312" w:cs="微软雅黑"/>
          <w:sz w:val="32"/>
          <w:szCs w:val="32"/>
        </w:rPr>
        <w:t>项目主要内容是根据《湖北省法院检察院雇员制司法辅助人员等级和薪酬管理办法（试行）》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编制竹溪县人民法院雇员制人员劳务费用。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年预算安排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181.7</w:t>
      </w:r>
      <w:r>
        <w:rPr>
          <w:rFonts w:hint="eastAsia" w:ascii="仿宋_GB2312" w:hAnsi="Calibri" w:eastAsia="仿宋_GB2312" w:cs="Times New Roman"/>
          <w:sz w:val="32"/>
          <w:szCs w:val="32"/>
        </w:rPr>
        <w:t>万元，资金来源为一般公共预算财政拨款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项目绩效年度目标：集完善司法责任制改革相关配套措施，深化雇员制司法辅助人员管理制度，不断提高司法辅助人员队伍素质和专业水平，为人民法院审判执行工作提供人才支持，促进审判工作质效全面提升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数量指标：雇员制司法辅助人员劳务费保障人数≥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23人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质量指标：年度考核合格率≥9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sz w:val="32"/>
          <w:szCs w:val="32"/>
        </w:rPr>
        <w:t>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成本指标：项目成本控制率≤100%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社会效益指标：缓解案多人少矛盾，为审判执行工作提供人才支持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：</w:t>
      </w:r>
      <w:r>
        <w:rPr>
          <w:rFonts w:hint="eastAsia" w:ascii="仿宋_GB2312" w:hAnsi="微软雅黑" w:eastAsia="仿宋_GB2312" w:cs="微软雅黑"/>
          <w:sz w:val="32"/>
          <w:szCs w:val="32"/>
        </w:rPr>
        <w:t>缓解。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微软雅黑"/>
          <w:sz w:val="32"/>
          <w:szCs w:val="32"/>
        </w:rPr>
        <w:t>“</w:t>
      </w:r>
      <w:r>
        <w:rPr>
          <w:rFonts w:hint="eastAsia" w:ascii="仿宋_GB2312" w:hAnsi="Calibri" w:eastAsia="仿宋_GB2312" w:cs="Times New Roman"/>
          <w:sz w:val="32"/>
          <w:szCs w:val="32"/>
        </w:rPr>
        <w:t>竹溪县人民法院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‘</w:t>
      </w:r>
      <w:r>
        <w:rPr>
          <w:rFonts w:hint="eastAsia" w:ascii="仿宋_GB2312" w:hAnsi="Calibri" w:eastAsia="仿宋_GB2312" w:cs="Times New Roman"/>
          <w:sz w:val="32"/>
          <w:szCs w:val="32"/>
        </w:rPr>
        <w:t>两庭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’</w:t>
      </w:r>
      <w:r>
        <w:rPr>
          <w:rFonts w:hint="eastAsia" w:ascii="仿宋_GB2312" w:hAnsi="Calibri" w:eastAsia="仿宋_GB2312" w:cs="Times New Roman"/>
          <w:sz w:val="32"/>
          <w:szCs w:val="32"/>
        </w:rPr>
        <w:t>修缮专项经费</w:t>
      </w:r>
      <w:r>
        <w:rPr>
          <w:rFonts w:hint="eastAsia" w:ascii="仿宋_GB2312" w:hAnsi="微软雅黑" w:eastAsia="仿宋_GB2312" w:cs="微软雅黑"/>
          <w:sz w:val="32"/>
          <w:szCs w:val="32"/>
        </w:rPr>
        <w:t>”项目主要内容是根据《省财政厅关于编制202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微软雅黑"/>
          <w:sz w:val="32"/>
          <w:szCs w:val="32"/>
        </w:rPr>
        <w:t>年省直部门预算编报有关口径的通知》规定，我院为保障审判工作的正常运行,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编制法庭及配套设施维修等支出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年预算安排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76</w:t>
      </w:r>
      <w:r>
        <w:rPr>
          <w:rFonts w:hint="eastAsia" w:ascii="仿宋_GB2312" w:hAnsi="Calibri" w:eastAsia="仿宋_GB2312" w:cs="Times New Roman"/>
          <w:sz w:val="32"/>
          <w:szCs w:val="32"/>
        </w:rPr>
        <w:t>万元，资金来源为一般公共预算财政拨款。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项目绩效年度目标：丰溪法庭维修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后</w:t>
      </w:r>
      <w:r>
        <w:rPr>
          <w:rFonts w:hint="eastAsia" w:ascii="仿宋_GB2312" w:hAnsi="Calibri" w:eastAsia="仿宋_GB2312" w:cs="Times New Roman"/>
          <w:sz w:val="32"/>
          <w:szCs w:val="32"/>
        </w:rPr>
        <w:t>正常使用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数量指标：“两庭”修缮任务完成率≥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质量指标：工程验收合格率≥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100%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成本指标：项目成本控制率≤100%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社会效益指标：工程安全事故数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=0起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九、其他需要说明的情况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（一）空表说明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我单位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年无政府性基金支出,故表8《政府性基金预算支出表》为空表。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（二）其他情况说明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无其他需要说明的情况。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十、专业名词解释</w:t>
      </w:r>
    </w:p>
    <w:p>
      <w:pPr>
        <w:spacing w:line="600" w:lineRule="exac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 xml:space="preserve">    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机关运行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：指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保障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位运行使用一般公共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款安排的基本支出中的日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常公用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支出。包括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公及印刷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邮电费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、差旅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议费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、福利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、日常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用材料及一般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公用房水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公用房取暖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公用房物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以及其他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“三公”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：指使用一般公共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款安排的因公出国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置及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和公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。其中，因公出国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出国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的国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际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、国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外城市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间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交通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、住宿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、伙食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训费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杂费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等支出；公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置及运行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反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车车辆购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置支出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置税、牌照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、燃料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过桥过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险费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、安全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用等支出；公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定开支的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含外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宾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 xml:space="preserve">)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政府采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：是指各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国家机关、事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，使用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金采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依法制定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的集中采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以内的或者采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额标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准以上的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货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物、工程和服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的行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。政府采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仅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是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指具体的采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程，而且是采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政策、采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程序、采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程及采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管理的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称，是一种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共采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管理的制度，是一种政府行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补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助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收入：指从同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取得的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5.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其他收入：指除上述“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款收入”以外任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安排的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6.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基本支出：指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保障机构正常运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转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、完成日常工作任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生的人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员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支出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和公用支出。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目支出：指在基本支出之外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完成特定行政任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和事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业发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展目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生的支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出。</w:t>
      </w:r>
    </w:p>
    <w:p>
      <w:pPr>
        <w:rPr>
          <w:rFonts w:ascii="楷体" w:hAnsi="楷体" w:eastAsia="楷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PingFang-SC-Ligh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88517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MTRiZGVjOTM1ZDkwZjk3ZGRiNGVhMDdlYWY4ODIifQ=="/>
  </w:docVars>
  <w:rsids>
    <w:rsidRoot w:val="009F6B89"/>
    <w:rsid w:val="00055BEB"/>
    <w:rsid w:val="00060D09"/>
    <w:rsid w:val="00072904"/>
    <w:rsid w:val="000D337E"/>
    <w:rsid w:val="00114122"/>
    <w:rsid w:val="0012200C"/>
    <w:rsid w:val="00136774"/>
    <w:rsid w:val="001C3EAF"/>
    <w:rsid w:val="00226513"/>
    <w:rsid w:val="002B4495"/>
    <w:rsid w:val="002F33FB"/>
    <w:rsid w:val="002F6F6D"/>
    <w:rsid w:val="00385F85"/>
    <w:rsid w:val="003C73DF"/>
    <w:rsid w:val="00433851"/>
    <w:rsid w:val="004744D9"/>
    <w:rsid w:val="00487CE2"/>
    <w:rsid w:val="004D570C"/>
    <w:rsid w:val="005536F5"/>
    <w:rsid w:val="00557866"/>
    <w:rsid w:val="005C77B5"/>
    <w:rsid w:val="005C7BA1"/>
    <w:rsid w:val="0060440D"/>
    <w:rsid w:val="00797E97"/>
    <w:rsid w:val="00801F95"/>
    <w:rsid w:val="00805623"/>
    <w:rsid w:val="00816B94"/>
    <w:rsid w:val="00844FD5"/>
    <w:rsid w:val="00856EE7"/>
    <w:rsid w:val="00880CE2"/>
    <w:rsid w:val="00897403"/>
    <w:rsid w:val="00952909"/>
    <w:rsid w:val="009A5906"/>
    <w:rsid w:val="009F6B89"/>
    <w:rsid w:val="00A000FA"/>
    <w:rsid w:val="00AA6381"/>
    <w:rsid w:val="00B8515F"/>
    <w:rsid w:val="00B94603"/>
    <w:rsid w:val="00BF7F5F"/>
    <w:rsid w:val="00C917E3"/>
    <w:rsid w:val="00D20E9A"/>
    <w:rsid w:val="00D36EFE"/>
    <w:rsid w:val="00D51AFC"/>
    <w:rsid w:val="00EF6B62"/>
    <w:rsid w:val="00FB1392"/>
    <w:rsid w:val="00FE04E2"/>
    <w:rsid w:val="0C9F3638"/>
    <w:rsid w:val="0FF6726D"/>
    <w:rsid w:val="1F0D680F"/>
    <w:rsid w:val="2842569A"/>
    <w:rsid w:val="2F111B9C"/>
    <w:rsid w:val="3D020A2F"/>
    <w:rsid w:val="3EE47F91"/>
    <w:rsid w:val="40AA556D"/>
    <w:rsid w:val="4C2B244C"/>
    <w:rsid w:val="53106E92"/>
    <w:rsid w:val="5B841CCB"/>
    <w:rsid w:val="5E2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纯文本1"/>
    <w:basedOn w:val="1"/>
    <w:qFormat/>
    <w:uiPriority w:val="99"/>
    <w:rPr>
      <w:rFonts w:ascii="宋体" w:hAnsi="Courier New" w:eastAsia="宋体" w:cs="Courier New"/>
    </w:rPr>
  </w:style>
  <w:style w:type="paragraph" w:customStyle="1" w:styleId="11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3296</Words>
  <Characters>3620</Characters>
  <Lines>25</Lines>
  <Paragraphs>7</Paragraphs>
  <TotalTime>134</TotalTime>
  <ScaleCrop>false</ScaleCrop>
  <LinksUpToDate>false</LinksUpToDate>
  <CharactersWithSpaces>3632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2022-02-18T03:51:00Z</dcterms:created>
  <dc:creator>Lenovo</dc:creator>
  <cp:lastModifiedBy>icbc</cp:lastModifiedBy>
  <cp:lastPrinted>2024-03-01T02:19:00Z</cp:lastPrinted>
  <dcterms:modified xsi:type="dcterms:W3CDTF">2025-03-04T04:18:38Z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69173BC61F024231BDA193907806F301</vt:lpwstr>
  </property>
  <property fmtid="{D5CDD505-2E9C-101B-9397-08002B2CF9AE}" pid="4" name="KSOTemplateDocerSaveRecord">
    <vt:lpwstr>eyJoZGlkIjoiOTI3MTliZjJiYzM1ZDRhY2VjODMxNjMwMGM1ZTE0YjIiLCJ1c2VySWQiOiI0NjE5MTEwNDAifQ==</vt:lpwstr>
  </property>
</Properties>
</file>